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5C2" w:rsidRDefault="00B735E4">
      <w:pPr>
        <w:widowControl/>
        <w:jc w:val="left"/>
        <w:rPr>
          <w:rFonts w:ascii="黑体" w:eastAsia="黑体" w:hAnsi="黑体" w:cs="宋体"/>
          <w:sz w:val="30"/>
          <w:szCs w:val="30"/>
        </w:rPr>
      </w:pPr>
      <w:r>
        <w:rPr>
          <w:rFonts w:ascii="黑体" w:eastAsia="黑体" w:hAnsi="黑体" w:cs="宋体" w:hint="eastAsia"/>
          <w:bCs/>
          <w:sz w:val="32"/>
          <w:szCs w:val="32"/>
        </w:rPr>
        <w:t>附件</w:t>
      </w:r>
      <w:r>
        <w:rPr>
          <w:rFonts w:ascii="黑体" w:eastAsia="黑体" w:hAnsi="黑体" w:cs="宋体" w:hint="eastAsia"/>
          <w:sz w:val="30"/>
          <w:szCs w:val="30"/>
        </w:rPr>
        <w:t>1</w:t>
      </w:r>
    </w:p>
    <w:p w:rsidR="00FA05C2" w:rsidRDefault="00B735E4">
      <w:pPr>
        <w:spacing w:line="600" w:lineRule="exact"/>
        <w:jc w:val="center"/>
        <w:rPr>
          <w:rFonts w:ascii="华文中宋" w:eastAsia="华文中宋" w:hAnsi="华文中宋"/>
          <w:b/>
          <w:bCs/>
          <w:sz w:val="44"/>
          <w:szCs w:val="44"/>
        </w:rPr>
      </w:pPr>
      <w:r>
        <w:rPr>
          <w:rFonts w:ascii="华文中宋" w:eastAsia="华文中宋" w:hAnsi="华文中宋"/>
          <w:b/>
          <w:bCs/>
          <w:sz w:val="44"/>
          <w:szCs w:val="44"/>
        </w:rPr>
        <w:t>2</w:t>
      </w:r>
      <w:r>
        <w:rPr>
          <w:rFonts w:ascii="华文中宋" w:eastAsia="华文中宋" w:hAnsi="华文中宋" w:hint="eastAsia"/>
          <w:b/>
          <w:bCs/>
          <w:sz w:val="44"/>
          <w:szCs w:val="44"/>
        </w:rPr>
        <w:t>022中国（深圳）黄金回购市场发展论坛</w:t>
      </w:r>
    </w:p>
    <w:p w:rsidR="00FA05C2" w:rsidRDefault="00B735E4">
      <w:pPr>
        <w:spacing w:line="600" w:lineRule="exact"/>
        <w:jc w:val="center"/>
        <w:rPr>
          <w:rFonts w:ascii="华文中宋" w:eastAsia="华文中宋" w:hAnsi="华文中宋"/>
          <w:b/>
          <w:bCs/>
          <w:sz w:val="44"/>
          <w:szCs w:val="44"/>
        </w:rPr>
      </w:pPr>
      <w:r>
        <w:rPr>
          <w:rFonts w:ascii="华文中宋" w:eastAsia="华文中宋" w:hAnsi="华文中宋" w:hint="eastAsia"/>
          <w:b/>
          <w:bCs/>
          <w:sz w:val="44"/>
          <w:szCs w:val="44"/>
        </w:rPr>
        <w:t>议程安排</w:t>
      </w:r>
    </w:p>
    <w:tbl>
      <w:tblPr>
        <w:tblW w:w="5545" w:type="pct"/>
        <w:tblInd w:w="108" w:type="dxa"/>
        <w:tblLook w:val="04A0" w:firstRow="1" w:lastRow="0" w:firstColumn="1" w:lastColumn="0" w:noHBand="0" w:noVBand="1"/>
      </w:tblPr>
      <w:tblGrid>
        <w:gridCol w:w="2070"/>
        <w:gridCol w:w="2123"/>
        <w:gridCol w:w="5007"/>
      </w:tblGrid>
      <w:tr w:rsidR="00FA05C2">
        <w:trPr>
          <w:trHeight w:val="499"/>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rsidR="00FA05C2" w:rsidRDefault="00B735E4">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时间</w:t>
            </w:r>
          </w:p>
        </w:tc>
        <w:tc>
          <w:tcPr>
            <w:tcW w:w="1154" w:type="pct"/>
            <w:tcBorders>
              <w:top w:val="single" w:sz="4" w:space="0" w:color="auto"/>
              <w:left w:val="nil"/>
              <w:bottom w:val="single" w:sz="4" w:space="0" w:color="auto"/>
              <w:right w:val="nil"/>
            </w:tcBorders>
            <w:shd w:val="clear" w:color="auto" w:fill="auto"/>
            <w:vAlign w:val="center"/>
          </w:tcPr>
          <w:p w:rsidR="00FA05C2" w:rsidRDefault="00B735E4">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项目</w:t>
            </w:r>
          </w:p>
        </w:tc>
        <w:tc>
          <w:tcPr>
            <w:tcW w:w="2721" w:type="pct"/>
            <w:tcBorders>
              <w:top w:val="single" w:sz="4" w:space="0" w:color="auto"/>
              <w:left w:val="single" w:sz="4" w:space="0" w:color="auto"/>
              <w:bottom w:val="nil"/>
              <w:right w:val="single" w:sz="4" w:space="0" w:color="auto"/>
            </w:tcBorders>
            <w:shd w:val="clear" w:color="auto" w:fill="auto"/>
            <w:vAlign w:val="center"/>
          </w:tcPr>
          <w:p w:rsidR="00FA05C2" w:rsidRDefault="00B735E4">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内容</w:t>
            </w:r>
          </w:p>
        </w:tc>
      </w:tr>
      <w:tr w:rsidR="00FA05C2">
        <w:trPr>
          <w:trHeight w:val="499"/>
        </w:trPr>
        <w:tc>
          <w:tcPr>
            <w:tcW w:w="1125" w:type="pct"/>
            <w:tcBorders>
              <w:top w:val="nil"/>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14:00-14:30</w:t>
            </w:r>
          </w:p>
        </w:tc>
        <w:tc>
          <w:tcPr>
            <w:tcW w:w="1154" w:type="pct"/>
            <w:tcBorders>
              <w:top w:val="nil"/>
              <w:left w:val="nil"/>
              <w:bottom w:val="single" w:sz="4" w:space="0" w:color="auto"/>
              <w:right w:val="nil"/>
            </w:tcBorders>
            <w:shd w:val="clear" w:color="auto" w:fill="auto"/>
            <w:vAlign w:val="center"/>
          </w:tcPr>
          <w:p w:rsidR="00FA05C2" w:rsidRDefault="00B735E4">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签到</w:t>
            </w:r>
          </w:p>
        </w:tc>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嘉宾签到、合影等</w:t>
            </w:r>
          </w:p>
        </w:tc>
      </w:tr>
      <w:tr w:rsidR="00FA05C2">
        <w:trPr>
          <w:trHeight w:val="1147"/>
        </w:trPr>
        <w:tc>
          <w:tcPr>
            <w:tcW w:w="1125" w:type="pct"/>
            <w:tcBorders>
              <w:top w:val="nil"/>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14:30-14:45</w:t>
            </w:r>
          </w:p>
        </w:tc>
        <w:tc>
          <w:tcPr>
            <w:tcW w:w="1154" w:type="pct"/>
            <w:tcBorders>
              <w:top w:val="nil"/>
              <w:left w:val="single" w:sz="4" w:space="0" w:color="auto"/>
              <w:bottom w:val="single" w:sz="4" w:space="0" w:color="auto"/>
              <w:right w:val="nil"/>
            </w:tcBorders>
            <w:shd w:val="clear" w:color="auto" w:fill="auto"/>
            <w:vAlign w:val="center"/>
          </w:tcPr>
          <w:p w:rsidR="00FA05C2" w:rsidRDefault="00B735E4">
            <w:pPr>
              <w:widowControl/>
              <w:spacing w:line="560" w:lineRule="exact"/>
              <w:jc w:val="center"/>
              <w:rPr>
                <w:rFonts w:ascii="仿宋" w:eastAsia="仿宋" w:hAnsi="仿宋"/>
                <w:b/>
                <w:color w:val="000000"/>
                <w:kern w:val="0"/>
                <w:sz w:val="32"/>
                <w:szCs w:val="32"/>
              </w:rPr>
            </w:pPr>
            <w:r>
              <w:rPr>
                <w:rFonts w:ascii="仿宋" w:eastAsia="仿宋" w:hAnsi="仿宋" w:hint="eastAsia"/>
                <w:color w:val="000000"/>
                <w:kern w:val="0"/>
                <w:sz w:val="32"/>
                <w:szCs w:val="32"/>
              </w:rPr>
              <w:t>领导致辞</w:t>
            </w:r>
          </w:p>
        </w:tc>
        <w:tc>
          <w:tcPr>
            <w:tcW w:w="2721" w:type="pct"/>
            <w:tcBorders>
              <w:top w:val="nil"/>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jc w:val="left"/>
              <w:rPr>
                <w:rFonts w:ascii="仿宋" w:eastAsia="仿宋" w:hAnsi="仿宋"/>
                <w:color w:val="000000"/>
                <w:kern w:val="0"/>
                <w:sz w:val="32"/>
                <w:szCs w:val="32"/>
              </w:rPr>
            </w:pPr>
            <w:r>
              <w:rPr>
                <w:rFonts w:ascii="仿宋" w:eastAsia="仿宋" w:hAnsi="仿宋" w:hint="eastAsia"/>
                <w:color w:val="000000"/>
                <w:kern w:val="0"/>
                <w:sz w:val="32"/>
                <w:szCs w:val="32"/>
              </w:rPr>
              <w:t>1.深圳市罗湖区政府有关领导致欢迎词</w:t>
            </w:r>
          </w:p>
          <w:p w:rsidR="00FA05C2" w:rsidRDefault="00B735E4">
            <w:pPr>
              <w:widowControl/>
              <w:spacing w:line="560" w:lineRule="exact"/>
              <w:jc w:val="left"/>
              <w:rPr>
                <w:rFonts w:ascii="仿宋" w:eastAsia="仿宋" w:hAnsi="仿宋"/>
                <w:color w:val="000000"/>
                <w:spacing w:val="-20"/>
                <w:kern w:val="0"/>
                <w:sz w:val="32"/>
                <w:szCs w:val="32"/>
              </w:rPr>
            </w:pPr>
            <w:r>
              <w:rPr>
                <w:rFonts w:ascii="仿宋" w:eastAsia="仿宋" w:hAnsi="仿宋" w:hint="eastAsia"/>
                <w:color w:val="000000"/>
                <w:kern w:val="0"/>
                <w:sz w:val="32"/>
                <w:szCs w:val="32"/>
              </w:rPr>
              <w:t>2.中国黄金协会副会长兼秘书长张永涛致辞</w:t>
            </w:r>
          </w:p>
        </w:tc>
      </w:tr>
      <w:tr w:rsidR="00FA05C2">
        <w:trPr>
          <w:trHeight w:val="2232"/>
        </w:trPr>
        <w:tc>
          <w:tcPr>
            <w:tcW w:w="1125" w:type="pct"/>
            <w:tcBorders>
              <w:top w:val="nil"/>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14:45-15:05</w:t>
            </w:r>
          </w:p>
        </w:tc>
        <w:tc>
          <w:tcPr>
            <w:tcW w:w="1154" w:type="pct"/>
            <w:tcBorders>
              <w:top w:val="nil"/>
              <w:left w:val="single" w:sz="4" w:space="0" w:color="auto"/>
              <w:bottom w:val="single" w:sz="4" w:space="0" w:color="auto"/>
              <w:right w:val="nil"/>
            </w:tcBorders>
            <w:shd w:val="clear" w:color="auto" w:fill="auto"/>
            <w:vAlign w:val="center"/>
          </w:tcPr>
          <w:p w:rsidR="00FA05C2" w:rsidRDefault="00B735E4">
            <w:pPr>
              <w:widowControl/>
              <w:spacing w:line="56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《黄金回购企业经营服务规范》团体标准制订工作启动</w:t>
            </w:r>
          </w:p>
        </w:tc>
        <w:tc>
          <w:tcPr>
            <w:tcW w:w="2721" w:type="pct"/>
            <w:tcBorders>
              <w:top w:val="nil"/>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rPr>
                <w:rFonts w:ascii="仿宋" w:eastAsia="仿宋" w:hAnsi="仿宋"/>
                <w:color w:val="000000"/>
                <w:spacing w:val="-10"/>
                <w:kern w:val="0"/>
                <w:sz w:val="32"/>
                <w:szCs w:val="32"/>
              </w:rPr>
            </w:pPr>
            <w:r>
              <w:rPr>
                <w:rFonts w:ascii="仿宋" w:eastAsia="仿宋" w:hAnsi="仿宋" w:hint="eastAsia"/>
                <w:color w:val="000000"/>
                <w:spacing w:val="-10"/>
                <w:kern w:val="0"/>
                <w:sz w:val="32"/>
                <w:szCs w:val="32"/>
              </w:rPr>
              <w:t>1.中国黄金协会副秘书长刘艳红介绍该标准制定的社会意义与市场价值</w:t>
            </w:r>
          </w:p>
          <w:p w:rsidR="00FA05C2" w:rsidRDefault="00B735E4">
            <w:pPr>
              <w:spacing w:line="560" w:lineRule="exact"/>
              <w:rPr>
                <w:rFonts w:ascii="仿宋" w:eastAsia="仿宋" w:hAnsi="仿宋"/>
                <w:b/>
                <w:color w:val="000000"/>
                <w:kern w:val="0"/>
                <w:sz w:val="32"/>
                <w:szCs w:val="32"/>
              </w:rPr>
            </w:pPr>
            <w:r>
              <w:rPr>
                <w:rFonts w:ascii="仿宋" w:eastAsia="仿宋" w:hAnsi="仿宋" w:hint="eastAsia"/>
                <w:color w:val="000000"/>
                <w:spacing w:val="-10"/>
                <w:kern w:val="0"/>
                <w:sz w:val="32"/>
                <w:szCs w:val="32"/>
              </w:rPr>
              <w:t xml:space="preserve">2.标准启动仪式 </w:t>
            </w:r>
          </w:p>
        </w:tc>
      </w:tr>
      <w:tr w:rsidR="00FA05C2">
        <w:trPr>
          <w:trHeight w:val="3544"/>
        </w:trPr>
        <w:tc>
          <w:tcPr>
            <w:tcW w:w="1125" w:type="pct"/>
            <w:tcBorders>
              <w:top w:val="nil"/>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jc w:val="center"/>
              <w:rPr>
                <w:rFonts w:ascii="仿宋" w:eastAsia="仿宋" w:hAnsi="仿宋"/>
                <w:kern w:val="0"/>
                <w:sz w:val="32"/>
                <w:szCs w:val="32"/>
              </w:rPr>
            </w:pPr>
            <w:r>
              <w:rPr>
                <w:rFonts w:ascii="仿宋" w:eastAsia="仿宋" w:hAnsi="仿宋" w:hint="eastAsia"/>
                <w:kern w:val="0"/>
                <w:sz w:val="32"/>
                <w:szCs w:val="32"/>
              </w:rPr>
              <w:t>15:05-15:40</w:t>
            </w:r>
          </w:p>
        </w:tc>
        <w:tc>
          <w:tcPr>
            <w:tcW w:w="1154" w:type="pct"/>
            <w:tcBorders>
              <w:top w:val="nil"/>
              <w:left w:val="single" w:sz="4" w:space="0" w:color="auto"/>
              <w:bottom w:val="single" w:sz="4" w:space="0" w:color="auto"/>
              <w:right w:val="nil"/>
            </w:tcBorders>
            <w:shd w:val="clear" w:color="auto" w:fill="auto"/>
            <w:vAlign w:val="center"/>
          </w:tcPr>
          <w:p w:rsidR="00FA05C2" w:rsidRDefault="00B735E4">
            <w:pPr>
              <w:widowControl/>
              <w:spacing w:line="560" w:lineRule="exact"/>
              <w:jc w:val="center"/>
              <w:rPr>
                <w:rFonts w:ascii="仿宋" w:eastAsia="仿宋" w:hAnsi="仿宋"/>
                <w:kern w:val="0"/>
                <w:sz w:val="32"/>
                <w:szCs w:val="32"/>
              </w:rPr>
            </w:pPr>
            <w:r>
              <w:rPr>
                <w:rFonts w:ascii="仿宋" w:eastAsia="仿宋" w:hAnsi="仿宋" w:hint="eastAsia"/>
                <w:kern w:val="0"/>
                <w:sz w:val="32"/>
                <w:szCs w:val="32"/>
              </w:rPr>
              <w:t>《投资金条》系列标准发布</w:t>
            </w:r>
          </w:p>
        </w:tc>
        <w:tc>
          <w:tcPr>
            <w:tcW w:w="2721" w:type="pct"/>
            <w:tcBorders>
              <w:top w:val="nil"/>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jc w:val="left"/>
              <w:rPr>
                <w:rFonts w:ascii="仿宋" w:eastAsia="仿宋" w:hAnsi="仿宋"/>
                <w:kern w:val="0"/>
                <w:sz w:val="32"/>
                <w:szCs w:val="32"/>
              </w:rPr>
            </w:pPr>
            <w:r>
              <w:rPr>
                <w:rFonts w:ascii="仿宋" w:eastAsia="仿宋" w:hAnsi="仿宋" w:hint="eastAsia"/>
                <w:kern w:val="0"/>
                <w:sz w:val="32"/>
                <w:szCs w:val="32"/>
              </w:rPr>
              <w:t>1.中国黄金协会副秘书长刘艳红解读《投资金条》系列标准</w:t>
            </w:r>
          </w:p>
          <w:p w:rsidR="00FA05C2" w:rsidRDefault="00B735E4">
            <w:pPr>
              <w:widowControl/>
              <w:spacing w:line="560" w:lineRule="exact"/>
              <w:rPr>
                <w:rFonts w:ascii="仿宋" w:eastAsia="仿宋" w:hAnsi="仿宋"/>
                <w:kern w:val="0"/>
                <w:sz w:val="32"/>
                <w:szCs w:val="32"/>
              </w:rPr>
            </w:pPr>
            <w:r>
              <w:rPr>
                <w:rFonts w:ascii="仿宋" w:eastAsia="仿宋" w:hAnsi="仿宋" w:hint="eastAsia"/>
                <w:kern w:val="0"/>
                <w:sz w:val="32"/>
                <w:szCs w:val="32"/>
              </w:rPr>
              <w:t>2.《投资金条》系列标准发布仪式</w:t>
            </w:r>
          </w:p>
          <w:p w:rsidR="00FA05C2" w:rsidRDefault="00B735E4">
            <w:pPr>
              <w:widowControl/>
              <w:spacing w:line="560" w:lineRule="exact"/>
              <w:rPr>
                <w:rFonts w:ascii="仿宋" w:eastAsia="仿宋" w:hAnsi="仿宋"/>
                <w:kern w:val="0"/>
                <w:sz w:val="32"/>
                <w:szCs w:val="32"/>
              </w:rPr>
            </w:pPr>
            <w:r>
              <w:rPr>
                <w:rFonts w:ascii="仿宋" w:eastAsia="仿宋" w:hAnsi="仿宋" w:hint="eastAsia"/>
                <w:kern w:val="0"/>
                <w:sz w:val="32"/>
                <w:szCs w:val="32"/>
              </w:rPr>
              <w:t>3. 《投资金条》团体标准的起草单位颁牌仪式</w:t>
            </w:r>
          </w:p>
          <w:p w:rsidR="00FA05C2" w:rsidRDefault="00B735E4">
            <w:pPr>
              <w:widowControl/>
              <w:spacing w:line="560" w:lineRule="exact"/>
              <w:rPr>
                <w:rFonts w:ascii="仿宋" w:eastAsia="仿宋" w:hAnsi="仿宋"/>
                <w:kern w:val="0"/>
                <w:sz w:val="32"/>
                <w:szCs w:val="32"/>
              </w:rPr>
            </w:pPr>
            <w:r>
              <w:rPr>
                <w:rFonts w:ascii="仿宋" w:eastAsia="仿宋" w:hAnsi="仿宋" w:hint="eastAsia"/>
                <w:kern w:val="0"/>
                <w:sz w:val="32"/>
                <w:szCs w:val="32"/>
              </w:rPr>
              <w:t>4.</w:t>
            </w:r>
            <w:r>
              <w:rPr>
                <w:rFonts w:ascii="仿宋" w:eastAsia="仿宋" w:hAnsi="仿宋"/>
                <w:kern w:val="0"/>
                <w:sz w:val="32"/>
                <w:szCs w:val="32"/>
              </w:rPr>
              <w:t xml:space="preserve"> </w:t>
            </w:r>
            <w:r>
              <w:rPr>
                <w:rFonts w:ascii="仿宋" w:eastAsia="仿宋" w:hAnsi="仿宋" w:hint="eastAsia"/>
                <w:kern w:val="0"/>
                <w:sz w:val="32"/>
                <w:szCs w:val="32"/>
              </w:rPr>
              <w:t>《投资金条经营服务规范》团体标准的起草单位颁牌仪式</w:t>
            </w:r>
          </w:p>
        </w:tc>
      </w:tr>
      <w:tr w:rsidR="00FA05C2">
        <w:trPr>
          <w:trHeight w:val="1855"/>
        </w:trPr>
        <w:tc>
          <w:tcPr>
            <w:tcW w:w="1125" w:type="pct"/>
            <w:tcBorders>
              <w:top w:val="nil"/>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jc w:val="center"/>
              <w:rPr>
                <w:rFonts w:ascii="仿宋" w:eastAsia="仿宋" w:hAnsi="仿宋"/>
                <w:kern w:val="0"/>
                <w:sz w:val="32"/>
                <w:szCs w:val="32"/>
              </w:rPr>
            </w:pPr>
            <w:r>
              <w:rPr>
                <w:rFonts w:ascii="仿宋" w:eastAsia="仿宋" w:hAnsi="仿宋" w:hint="eastAsia"/>
                <w:kern w:val="0"/>
                <w:sz w:val="32"/>
                <w:szCs w:val="32"/>
              </w:rPr>
              <w:t>15:40-15:55</w:t>
            </w:r>
          </w:p>
        </w:tc>
        <w:tc>
          <w:tcPr>
            <w:tcW w:w="1154" w:type="pct"/>
            <w:tcBorders>
              <w:top w:val="nil"/>
              <w:left w:val="nil"/>
              <w:bottom w:val="single" w:sz="4" w:space="0" w:color="auto"/>
              <w:right w:val="nil"/>
            </w:tcBorders>
            <w:shd w:val="clear" w:color="auto" w:fill="auto"/>
            <w:vAlign w:val="center"/>
          </w:tcPr>
          <w:p w:rsidR="00FA05C2" w:rsidRDefault="00B735E4">
            <w:pPr>
              <w:widowControl/>
              <w:spacing w:line="560" w:lineRule="exact"/>
              <w:jc w:val="center"/>
              <w:rPr>
                <w:rFonts w:ascii="仿宋" w:eastAsia="仿宋" w:hAnsi="仿宋"/>
                <w:kern w:val="0"/>
                <w:sz w:val="32"/>
                <w:szCs w:val="32"/>
              </w:rPr>
            </w:pPr>
            <w:r>
              <w:rPr>
                <w:rFonts w:ascii="仿宋" w:eastAsia="仿宋" w:hAnsi="仿宋" w:hint="eastAsia"/>
                <w:kern w:val="0"/>
                <w:sz w:val="32"/>
                <w:szCs w:val="32"/>
              </w:rPr>
              <w:t>黄金回购合规经营倡议仪式</w:t>
            </w:r>
          </w:p>
        </w:tc>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rsidR="00FA05C2" w:rsidRDefault="00B735E4">
            <w:pPr>
              <w:widowControl/>
              <w:spacing w:line="560" w:lineRule="exact"/>
              <w:rPr>
                <w:rFonts w:ascii="仿宋" w:eastAsia="仿宋" w:hAnsi="仿宋"/>
                <w:kern w:val="0"/>
                <w:sz w:val="32"/>
                <w:szCs w:val="32"/>
              </w:rPr>
            </w:pPr>
            <w:r>
              <w:rPr>
                <w:rFonts w:ascii="仿宋" w:eastAsia="仿宋" w:hAnsi="仿宋" w:hint="eastAsia"/>
                <w:kern w:val="0"/>
                <w:sz w:val="32"/>
                <w:szCs w:val="32"/>
              </w:rPr>
              <w:t>1.中国黄金协会领导宣读《黄金回购合规经营倡议书》</w:t>
            </w:r>
          </w:p>
          <w:p w:rsidR="00FA05C2" w:rsidRDefault="00B735E4">
            <w:pPr>
              <w:widowControl/>
              <w:spacing w:line="560" w:lineRule="exact"/>
              <w:rPr>
                <w:rFonts w:ascii="仿宋" w:eastAsia="仿宋" w:hAnsi="仿宋"/>
                <w:b/>
                <w:kern w:val="0"/>
                <w:sz w:val="32"/>
                <w:szCs w:val="32"/>
              </w:rPr>
            </w:pPr>
            <w:r>
              <w:rPr>
                <w:rFonts w:ascii="仿宋" w:eastAsia="仿宋" w:hAnsi="仿宋" w:hint="eastAsia"/>
                <w:kern w:val="0"/>
                <w:sz w:val="32"/>
                <w:szCs w:val="32"/>
              </w:rPr>
              <w:t>2.倡议发起单位颁牌仪式</w:t>
            </w:r>
          </w:p>
        </w:tc>
      </w:tr>
      <w:tr w:rsidR="00FA05C2">
        <w:trPr>
          <w:trHeight w:val="699"/>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rsidR="00FA05C2" w:rsidRDefault="00B735E4">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lastRenderedPageBreak/>
              <w:t>时间</w:t>
            </w:r>
          </w:p>
        </w:tc>
        <w:tc>
          <w:tcPr>
            <w:tcW w:w="1154" w:type="pct"/>
            <w:tcBorders>
              <w:top w:val="single" w:sz="4" w:space="0" w:color="auto"/>
              <w:left w:val="single" w:sz="4" w:space="0" w:color="auto"/>
              <w:bottom w:val="single" w:sz="4" w:space="0" w:color="auto"/>
              <w:right w:val="nil"/>
            </w:tcBorders>
            <w:shd w:val="clear" w:color="auto" w:fill="auto"/>
            <w:vAlign w:val="center"/>
          </w:tcPr>
          <w:p w:rsidR="00FA05C2" w:rsidRDefault="00B735E4">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项目</w:t>
            </w:r>
          </w:p>
        </w:tc>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rsidR="00FA05C2" w:rsidRDefault="00B735E4">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内容</w:t>
            </w:r>
          </w:p>
        </w:tc>
      </w:tr>
      <w:tr w:rsidR="00FA05C2">
        <w:trPr>
          <w:trHeight w:val="931"/>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rsidR="00FA05C2" w:rsidRDefault="00B735E4">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15:55-18:00</w:t>
            </w:r>
          </w:p>
        </w:tc>
        <w:tc>
          <w:tcPr>
            <w:tcW w:w="1154" w:type="pct"/>
            <w:tcBorders>
              <w:top w:val="single" w:sz="4" w:space="0" w:color="auto"/>
              <w:left w:val="single" w:sz="4" w:space="0" w:color="auto"/>
              <w:bottom w:val="single" w:sz="4" w:space="0" w:color="auto"/>
              <w:right w:val="nil"/>
            </w:tcBorders>
            <w:shd w:val="clear" w:color="auto" w:fill="auto"/>
            <w:vAlign w:val="center"/>
          </w:tcPr>
          <w:p w:rsidR="00FA05C2" w:rsidRDefault="00B735E4">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论坛主题演讲</w:t>
            </w:r>
          </w:p>
        </w:tc>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1.议题：黄金回购企业应税策略</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发言人：中国财政部科学研究院税务专家许文教授</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2.议题：上海黄金交易所场外黄金基础服务设施体系介绍</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发言人：上海黄金交易所投资者教育与市场推广部副总经理兼深圳运营中心副主任陆锁军</w:t>
            </w:r>
          </w:p>
          <w:p w:rsidR="00FA05C2" w:rsidRDefault="00B735E4">
            <w:pPr>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3.议题：黄金回购区域品牌的构建对深圳金融市场发展的影响及区域政策支持（待定）</w:t>
            </w:r>
          </w:p>
          <w:p w:rsidR="00FA05C2" w:rsidRDefault="00B735E4">
            <w:pPr>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发言人：深圳市罗湖区金融服务署相关领导</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 xml:space="preserve">4.议题：黄金回购业务与我国黄金产业高质量发展的关系 </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发言人：深圳黄金珠宝文化研究会会长曹阳</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 xml:space="preserve">5.议题：中国黄金在黄金回购业务上的实践及未来规划 </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发言人：中国黄金集团黄金珠宝股份有限公司有关领导</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 xml:space="preserve">6.议题：打造高标准、高质量的黄金流转大平台与我国黄金市场的高质量发展 </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发言人：国润黄金（深圳）有限公司总裁谷志明</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7. 议题：数字化赋能我国黄金回购市场高质量发展</w:t>
            </w:r>
          </w:p>
          <w:p w:rsidR="00FA05C2" w:rsidRDefault="00B735E4">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发言人：成都金晨数通科技有限公司CEO 张吉峰</w:t>
            </w:r>
          </w:p>
        </w:tc>
      </w:tr>
    </w:tbl>
    <w:p w:rsidR="00FA05C2" w:rsidRDefault="00FA05C2" w:rsidP="00FD6042">
      <w:pPr>
        <w:widowControl/>
        <w:rPr>
          <w:rFonts w:ascii="宋体" w:hAnsi="宋体" w:cs="宋体" w:hint="eastAsia"/>
          <w:sz w:val="30"/>
          <w:szCs w:val="30"/>
        </w:rPr>
        <w:sectPr w:rsidR="00FA05C2">
          <w:pgSz w:w="11906" w:h="16838"/>
          <w:pgMar w:top="1440" w:right="1800" w:bottom="1440" w:left="1800" w:header="851" w:footer="992" w:gutter="0"/>
          <w:cols w:space="425"/>
          <w:docGrid w:type="lines" w:linePitch="312"/>
        </w:sectPr>
      </w:pPr>
    </w:p>
    <w:p w:rsidR="00FA05C2" w:rsidRDefault="00FA05C2" w:rsidP="00FD6042">
      <w:pPr>
        <w:widowControl/>
        <w:jc w:val="left"/>
        <w:rPr>
          <w:rFonts w:ascii="仿宋" w:eastAsia="仿宋" w:hAnsi="仿宋" w:cs="宋体" w:hint="eastAsia"/>
          <w:sz w:val="32"/>
          <w:szCs w:val="32"/>
        </w:rPr>
      </w:pPr>
      <w:bookmarkStart w:id="0" w:name="_GoBack"/>
      <w:bookmarkEnd w:id="0"/>
    </w:p>
    <w:sectPr w:rsidR="00FA05C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24" w:rsidRDefault="00CC3824" w:rsidP="00B17942">
      <w:r>
        <w:separator/>
      </w:r>
    </w:p>
  </w:endnote>
  <w:endnote w:type="continuationSeparator" w:id="0">
    <w:p w:rsidR="00CC3824" w:rsidRDefault="00CC3824" w:rsidP="00B1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24" w:rsidRDefault="00CC3824" w:rsidP="00B17942">
      <w:r>
        <w:separator/>
      </w:r>
    </w:p>
  </w:footnote>
  <w:footnote w:type="continuationSeparator" w:id="0">
    <w:p w:rsidR="00CC3824" w:rsidRDefault="00CC3824" w:rsidP="00B17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lNzdjM2RhZTg4NTUzOWU5Mzg3ZjY5Y2NlMjQ4NmYifQ=="/>
  </w:docVars>
  <w:rsids>
    <w:rsidRoot w:val="4B073CD0"/>
    <w:rsid w:val="00023D6D"/>
    <w:rsid w:val="00031E99"/>
    <w:rsid w:val="00032F8D"/>
    <w:rsid w:val="000A1D47"/>
    <w:rsid w:val="000B5D05"/>
    <w:rsid w:val="000F25FA"/>
    <w:rsid w:val="00107ACD"/>
    <w:rsid w:val="00122DA5"/>
    <w:rsid w:val="00183F84"/>
    <w:rsid w:val="00186C47"/>
    <w:rsid w:val="001C28BE"/>
    <w:rsid w:val="001D672B"/>
    <w:rsid w:val="001E0E76"/>
    <w:rsid w:val="00274563"/>
    <w:rsid w:val="002A7AF1"/>
    <w:rsid w:val="002B3D84"/>
    <w:rsid w:val="0031056B"/>
    <w:rsid w:val="003B23D5"/>
    <w:rsid w:val="004670FC"/>
    <w:rsid w:val="004A5337"/>
    <w:rsid w:val="004B6F5F"/>
    <w:rsid w:val="005270AC"/>
    <w:rsid w:val="005606F8"/>
    <w:rsid w:val="00602D87"/>
    <w:rsid w:val="006060AB"/>
    <w:rsid w:val="00623BF2"/>
    <w:rsid w:val="00674E58"/>
    <w:rsid w:val="00677470"/>
    <w:rsid w:val="00724708"/>
    <w:rsid w:val="007C0B3C"/>
    <w:rsid w:val="007D32F2"/>
    <w:rsid w:val="00802003"/>
    <w:rsid w:val="008106E6"/>
    <w:rsid w:val="008722A7"/>
    <w:rsid w:val="0087526F"/>
    <w:rsid w:val="00876F57"/>
    <w:rsid w:val="00892305"/>
    <w:rsid w:val="008B0C89"/>
    <w:rsid w:val="008B4AB3"/>
    <w:rsid w:val="00901C1D"/>
    <w:rsid w:val="00942DCD"/>
    <w:rsid w:val="009528D9"/>
    <w:rsid w:val="009B1457"/>
    <w:rsid w:val="009D1C2F"/>
    <w:rsid w:val="009E6335"/>
    <w:rsid w:val="009E6B39"/>
    <w:rsid w:val="00A12BD8"/>
    <w:rsid w:val="00A3751E"/>
    <w:rsid w:val="00AC7695"/>
    <w:rsid w:val="00B17942"/>
    <w:rsid w:val="00B27FFB"/>
    <w:rsid w:val="00B735E4"/>
    <w:rsid w:val="00B8361F"/>
    <w:rsid w:val="00BA0CAF"/>
    <w:rsid w:val="00BF4565"/>
    <w:rsid w:val="00C14803"/>
    <w:rsid w:val="00C46105"/>
    <w:rsid w:val="00C70004"/>
    <w:rsid w:val="00C743D4"/>
    <w:rsid w:val="00CA654C"/>
    <w:rsid w:val="00CB3148"/>
    <w:rsid w:val="00CC3824"/>
    <w:rsid w:val="00E37C79"/>
    <w:rsid w:val="00E702EC"/>
    <w:rsid w:val="00E8626B"/>
    <w:rsid w:val="00EB723A"/>
    <w:rsid w:val="00F35E1C"/>
    <w:rsid w:val="00F477BB"/>
    <w:rsid w:val="00F70669"/>
    <w:rsid w:val="00F85F10"/>
    <w:rsid w:val="00FA05C2"/>
    <w:rsid w:val="00FA3B45"/>
    <w:rsid w:val="00FC3C95"/>
    <w:rsid w:val="00FD6042"/>
    <w:rsid w:val="00FE4371"/>
    <w:rsid w:val="0FD87FFD"/>
    <w:rsid w:val="241A6046"/>
    <w:rsid w:val="28EB63A0"/>
    <w:rsid w:val="456838FE"/>
    <w:rsid w:val="49C12A7C"/>
    <w:rsid w:val="4B073CD0"/>
    <w:rsid w:val="4E6A453A"/>
    <w:rsid w:val="4EB940F3"/>
    <w:rsid w:val="5E9A4558"/>
    <w:rsid w:val="7D7F010D"/>
    <w:rsid w:val="7F3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5A0CEC-38D4-4CA5-8992-EA79B8D7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日期 Char"/>
    <w:basedOn w:val="a0"/>
    <w:link w:val="a3"/>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3604-0872-4472-A507-65F60807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阿苏</dc:creator>
  <cp:lastModifiedBy>dell</cp:lastModifiedBy>
  <cp:revision>3</cp:revision>
  <cp:lastPrinted>2022-08-23T08:22:00Z</cp:lastPrinted>
  <dcterms:created xsi:type="dcterms:W3CDTF">2022-11-16T01:49:00Z</dcterms:created>
  <dcterms:modified xsi:type="dcterms:W3CDTF">2022-11-16T02:07:00Z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4C459A0E13FA4DCFA69BECD4543E73D0</vt:lpwstr>
  </property>
</Properties>
</file>